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0E4" w:rsidRPr="002F2F42" w:rsidRDefault="000F60E4" w:rsidP="000F60E4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rPr>
          <w:color w:val="000000"/>
        </w:rPr>
      </w:pPr>
      <w:bookmarkStart w:id="0" w:name="_Toc87553796"/>
      <w:bookmarkStart w:id="1" w:name="_Toc87623095"/>
      <w:bookmarkStart w:id="2" w:name="_Toc104972791"/>
      <w:r w:rsidRPr="002F2F42">
        <w:rPr>
          <w:b/>
          <w:color w:val="000000"/>
        </w:rPr>
        <w:t xml:space="preserve">Table SM.5.2. </w:t>
      </w:r>
      <w:r w:rsidRPr="002F2F42">
        <w:rPr>
          <w:color w:val="000000"/>
        </w:rPr>
        <w:t xml:space="preserve">Advantages and disadvantages of mass spectrometry techniques and selected array-based </w:t>
      </w:r>
      <w:bookmarkEnd w:id="0"/>
      <w:bookmarkEnd w:id="1"/>
      <w:bookmarkEnd w:id="2"/>
      <w:r w:rsidRPr="002F2F42">
        <w:rPr>
          <w:color w:val="000000"/>
        </w:rPr>
        <w:t>sensors</w:t>
      </w:r>
    </w:p>
    <w:p w:rsidR="000F60E4" w:rsidRPr="00837161" w:rsidRDefault="000F60E4" w:rsidP="000F60E4">
      <w:pPr>
        <w:pStyle w:val="BodyText"/>
        <w:rPr>
          <w:rFonts w:ascii="Times New Roman" w:hAnsi="Times New Roman"/>
          <w:i/>
          <w:lang w:val="en-GB"/>
        </w:rPr>
      </w:pPr>
      <w:r w:rsidRPr="00837161">
        <w:rPr>
          <w:rFonts w:ascii="Times New Roman" w:hAnsi="Times New Roman"/>
          <w:lang w:val="en-GB" w:eastAsia="ja-JP"/>
        </w:rPr>
        <w:t xml:space="preserve">Source: </w:t>
      </w:r>
      <w:r w:rsidRPr="00837161">
        <w:rPr>
          <w:rFonts w:ascii="Times New Roman" w:hAnsi="Times New Roman"/>
          <w:iCs/>
          <w:lang w:val="en-GB"/>
        </w:rPr>
        <w:fldChar w:fldCharType="begin"/>
      </w:r>
      <w:r>
        <w:rPr>
          <w:rFonts w:ascii="Times New Roman" w:hAnsi="Times New Roman"/>
          <w:iCs/>
          <w:lang w:val="en-GB"/>
        </w:rPr>
        <w:instrText xml:space="preserve"> ADDIN ZOTERO_ITEM CSL_CITATION {"citationID":"SjnRKdIy","properties":{"formattedCitation":"(Queralto et al., 2014)","plainCitation":"(Queralto et al., 2014)","dontUpdate":true,"noteIndex":0},"citationItems":[{"id":30361,"uris":["http://zotero.org/groups/2352922/items/KLGJ5QKE"],"itemData":{"id":30361,"type":"article-journal","container-title":"Journal of Breath Research","DOI":"10.1088/1752-7155/8/2/027112","ISSN":"1752-7155, 1752-7163","issue":"2","journalAbbreviation":"J. Breath Res.","page":"027112","source":"DOI.org (Crossref)","title":"Detecting cancer by breath volatile organic compound analysis: a review of array-based sensors","title-short":"Detecting cancer by breath volatile organic compound analysis","URL":"https://iopscience.iop.org/article/10.1088/1752-7155/8/2/027112","volume":"8","author":[{"family":"Queralto","given":"Nuria"},{"family":"Berliner","given":"Anders N"},{"family":"Goldsmith","given":"Brett"},{"family":"Martino","given":"Raymond"},{"family":"Rhodes","given":"Paul"},{"family":"Lim","given":"Sung H"}],"accessed":{"date-parts":[["2020",8,17]]},"issued":{"date-parts":[["2014",5,27]]}},"label":"page"}],"schema":"https://github.com/citation-style-language/schema/raw/master/csl-citation.json"} </w:instrText>
      </w:r>
      <w:r w:rsidRPr="00837161">
        <w:rPr>
          <w:rFonts w:ascii="Times New Roman" w:hAnsi="Times New Roman"/>
          <w:iCs/>
          <w:lang w:val="en-GB"/>
        </w:rPr>
        <w:fldChar w:fldCharType="separate"/>
      </w:r>
      <w:proofErr w:type="spellStart"/>
      <w:r w:rsidRPr="00837161">
        <w:rPr>
          <w:rFonts w:ascii="Times New Roman" w:hAnsi="Times New Roman"/>
          <w:iCs/>
          <w:lang w:val="en-GB"/>
        </w:rPr>
        <w:t>Queralto</w:t>
      </w:r>
      <w:proofErr w:type="spellEnd"/>
      <w:r w:rsidRPr="00837161">
        <w:rPr>
          <w:rFonts w:ascii="Times New Roman" w:hAnsi="Times New Roman"/>
          <w:iCs/>
          <w:lang w:val="en-GB"/>
        </w:rPr>
        <w:t xml:space="preserve"> et al. (2014</w:t>
      </w:r>
      <w:r w:rsidRPr="00837161">
        <w:rPr>
          <w:rFonts w:ascii="Times New Roman" w:hAnsi="Times New Roman"/>
          <w:iCs/>
          <w:lang w:val="en-GB"/>
        </w:rPr>
        <w:fldChar w:fldCharType="end"/>
      </w:r>
      <w:r w:rsidRPr="00837161">
        <w:rPr>
          <w:rFonts w:ascii="Times New Roman" w:hAnsi="Times New Roman"/>
          <w:iCs/>
          <w:lang w:val="en-GB"/>
        </w:rPr>
        <w:t>)</w:t>
      </w:r>
    </w:p>
    <w:tbl>
      <w:tblPr>
        <w:tblW w:w="868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067"/>
        <w:gridCol w:w="2977"/>
        <w:gridCol w:w="3643"/>
      </w:tblGrid>
      <w:tr w:rsidR="000F60E4" w:rsidTr="004F6786">
        <w:tc>
          <w:tcPr>
            <w:tcW w:w="2067" w:type="dxa"/>
          </w:tcPr>
          <w:p w:rsidR="000F60E4" w:rsidRPr="00C0338D" w:rsidRDefault="000F60E4" w:rsidP="004F6786">
            <w:r w:rsidRPr="00C0338D">
              <w:t>Technology</w:t>
            </w:r>
          </w:p>
        </w:tc>
        <w:tc>
          <w:tcPr>
            <w:tcW w:w="2977" w:type="dxa"/>
          </w:tcPr>
          <w:p w:rsidR="000F60E4" w:rsidRPr="00C0338D" w:rsidRDefault="000F60E4" w:rsidP="004F6786">
            <w:r w:rsidRPr="00C0338D">
              <w:t>Advantages</w:t>
            </w:r>
          </w:p>
        </w:tc>
        <w:tc>
          <w:tcPr>
            <w:tcW w:w="3643" w:type="dxa"/>
          </w:tcPr>
          <w:p w:rsidR="000F60E4" w:rsidRPr="00C0338D" w:rsidRDefault="000F60E4" w:rsidP="004F6786">
            <w:r w:rsidRPr="00C0338D">
              <w:t>Disadvantages</w:t>
            </w:r>
          </w:p>
        </w:tc>
      </w:tr>
      <w:tr w:rsidR="000F60E4" w:rsidTr="004F6786">
        <w:tc>
          <w:tcPr>
            <w:tcW w:w="2067" w:type="dxa"/>
          </w:tcPr>
          <w:p w:rsidR="000F60E4" w:rsidRPr="00C0338D" w:rsidRDefault="000F60E4" w:rsidP="004F6786">
            <w:r w:rsidRPr="00C0338D">
              <w:t>Mass spectrometry-based techniques</w:t>
            </w:r>
          </w:p>
        </w:tc>
        <w:tc>
          <w:tcPr>
            <w:tcW w:w="2977" w:type="dxa"/>
          </w:tcPr>
          <w:p w:rsidR="000F60E4" w:rsidRPr="00C0338D" w:rsidRDefault="000F60E4" w:rsidP="004F6786">
            <w:r w:rsidRPr="00C0338D">
              <w:t>Ability to detect cancer-specific Volatile organic compounds; highly standardized techniques; compatible with pre-concentration technique, such as solid phase micro extraction (SPME) and needle trap micro extraction methods to further improve the sensitivity</w:t>
            </w:r>
          </w:p>
        </w:tc>
        <w:tc>
          <w:tcPr>
            <w:tcW w:w="3643" w:type="dxa"/>
          </w:tcPr>
          <w:p w:rsidR="000F60E4" w:rsidRPr="00C0338D" w:rsidRDefault="000F60E4" w:rsidP="004F6786">
            <w:r w:rsidRPr="00C0338D">
              <w:t>Expensive; require a skilled operator; long analysis time</w:t>
            </w:r>
          </w:p>
        </w:tc>
      </w:tr>
      <w:tr w:rsidR="000F60E4" w:rsidTr="004F6786">
        <w:tc>
          <w:tcPr>
            <w:tcW w:w="2067" w:type="dxa"/>
          </w:tcPr>
          <w:p w:rsidR="000F60E4" w:rsidRPr="00C0338D" w:rsidRDefault="000F60E4" w:rsidP="004F6786">
            <w:r w:rsidRPr="00C0338D">
              <w:t>Array-based sensors</w:t>
            </w:r>
          </w:p>
        </w:tc>
        <w:tc>
          <w:tcPr>
            <w:tcW w:w="2977" w:type="dxa"/>
          </w:tcPr>
          <w:p w:rsidR="000F60E4" w:rsidRPr="00C0338D" w:rsidRDefault="000F60E4" w:rsidP="004F6786">
            <w:r w:rsidRPr="00C0338D">
              <w:t xml:space="preserve">Cheap, portable, fast, and potential to detect Volatile organic compounds at low concentrations </w:t>
            </w:r>
          </w:p>
          <w:p w:rsidR="000F60E4" w:rsidRPr="00C0338D" w:rsidRDefault="000F60E4" w:rsidP="004F6786"/>
        </w:tc>
        <w:tc>
          <w:tcPr>
            <w:tcW w:w="3643" w:type="dxa"/>
          </w:tcPr>
          <w:p w:rsidR="000F60E4" w:rsidRPr="00C0338D" w:rsidRDefault="000F60E4" w:rsidP="004F6786">
            <w:r w:rsidRPr="00C0338D">
              <w:t>Cannot identify cancer-specific Volatile organic compounds. Sensor training and standardization</w:t>
            </w:r>
          </w:p>
          <w:p w:rsidR="000F60E4" w:rsidRPr="00C0338D" w:rsidRDefault="000F60E4" w:rsidP="004F6786">
            <w:r w:rsidRPr="00C0338D">
              <w:t>are required. Breath Volatile organic compound fingerprints</w:t>
            </w:r>
          </w:p>
          <w:p w:rsidR="000F60E4" w:rsidRPr="00C0338D" w:rsidRDefault="000F60E4" w:rsidP="004F6786">
            <w:r w:rsidRPr="00C0338D">
              <w:t>depend on sensor type.</w:t>
            </w:r>
          </w:p>
        </w:tc>
      </w:tr>
      <w:tr w:rsidR="000F60E4" w:rsidTr="004F6786">
        <w:tc>
          <w:tcPr>
            <w:tcW w:w="2067" w:type="dxa"/>
          </w:tcPr>
          <w:p w:rsidR="000F60E4" w:rsidRPr="00C0338D" w:rsidRDefault="000F60E4" w:rsidP="004F6786">
            <w:r w:rsidRPr="00C0338D">
              <w:t xml:space="preserve">1. Quartz crystal </w:t>
            </w:r>
          </w:p>
          <w:p w:rsidR="000F60E4" w:rsidRPr="00C0338D" w:rsidRDefault="000F60E4" w:rsidP="004F6786">
            <w:r w:rsidRPr="00C0338D">
              <w:t xml:space="preserve">microbalance (QCM) </w:t>
            </w:r>
          </w:p>
        </w:tc>
        <w:tc>
          <w:tcPr>
            <w:tcW w:w="2977" w:type="dxa"/>
          </w:tcPr>
          <w:p w:rsidR="000F60E4" w:rsidRPr="00C0338D" w:rsidRDefault="000F60E4" w:rsidP="004F6786">
            <w:r w:rsidRPr="00C0338D">
              <w:t>High precision and sensitivity, diverse range of sensor coatings available</w:t>
            </w:r>
          </w:p>
        </w:tc>
        <w:tc>
          <w:tcPr>
            <w:tcW w:w="3643" w:type="dxa"/>
          </w:tcPr>
          <w:p w:rsidR="000F60E4" w:rsidRPr="00C0338D" w:rsidRDefault="000F60E4" w:rsidP="004F6786">
            <w:r w:rsidRPr="00C0338D">
              <w:t>Poor signal-to-noise ratio, sensitivity to humidity and temperature, complex circuitry</w:t>
            </w:r>
          </w:p>
        </w:tc>
      </w:tr>
      <w:tr w:rsidR="000F60E4" w:rsidTr="004F6786">
        <w:tc>
          <w:tcPr>
            <w:tcW w:w="2067" w:type="dxa"/>
          </w:tcPr>
          <w:p w:rsidR="000F60E4" w:rsidRPr="00C0338D" w:rsidRDefault="000F60E4" w:rsidP="004F6786">
            <w:r w:rsidRPr="00C0338D">
              <w:t>2. Au</w:t>
            </w:r>
            <w:r w:rsidRPr="00C0338D">
              <w:rPr>
                <w:i/>
              </w:rPr>
              <w:t>/</w:t>
            </w:r>
            <w:r w:rsidRPr="00C0338D">
              <w:t xml:space="preserve">Pt nanoparticles </w:t>
            </w:r>
          </w:p>
        </w:tc>
        <w:tc>
          <w:tcPr>
            <w:tcW w:w="2977" w:type="dxa"/>
          </w:tcPr>
          <w:p w:rsidR="000F60E4" w:rsidRPr="00C0338D" w:rsidRDefault="000F60E4" w:rsidP="004F6786">
            <w:r w:rsidRPr="00C0338D">
              <w:t>Fast response to a diverse set of analytes</w:t>
            </w:r>
          </w:p>
        </w:tc>
        <w:tc>
          <w:tcPr>
            <w:tcW w:w="3643" w:type="dxa"/>
          </w:tcPr>
          <w:p w:rsidR="000F60E4" w:rsidRPr="00C0338D" w:rsidRDefault="000F60E4" w:rsidP="004F6786">
            <w:r w:rsidRPr="00C0338D">
              <w:t>Sensitive to humidity</w:t>
            </w:r>
          </w:p>
        </w:tc>
      </w:tr>
      <w:tr w:rsidR="000F60E4" w:rsidTr="004F6786">
        <w:tc>
          <w:tcPr>
            <w:tcW w:w="2067" w:type="dxa"/>
          </w:tcPr>
          <w:p w:rsidR="000F60E4" w:rsidRPr="00C0338D" w:rsidRDefault="000F60E4" w:rsidP="004F6786">
            <w:r w:rsidRPr="00C0338D">
              <w:t xml:space="preserve">3. Carbon nanotube (CNT)-based sensor </w:t>
            </w:r>
          </w:p>
          <w:p w:rsidR="000F60E4" w:rsidRPr="00C0338D" w:rsidRDefault="000F60E4" w:rsidP="004F6786"/>
        </w:tc>
        <w:tc>
          <w:tcPr>
            <w:tcW w:w="2977" w:type="dxa"/>
          </w:tcPr>
          <w:p w:rsidR="000F60E4" w:rsidRPr="00C0338D" w:rsidRDefault="000F60E4" w:rsidP="004F6786">
            <w:r w:rsidRPr="00C0338D">
              <w:t>Fast response time, reversible</w:t>
            </w:r>
          </w:p>
        </w:tc>
        <w:tc>
          <w:tcPr>
            <w:tcW w:w="3643" w:type="dxa"/>
          </w:tcPr>
          <w:p w:rsidR="000F60E4" w:rsidRPr="00C0338D" w:rsidRDefault="000F60E4" w:rsidP="004F6786">
            <w:r w:rsidRPr="00C0338D">
              <w:t>Sensitive to humidity, less response</w:t>
            </w:r>
          </w:p>
          <w:p w:rsidR="000F60E4" w:rsidRPr="00C0338D" w:rsidRDefault="000F60E4" w:rsidP="004F6786">
            <w:r w:rsidRPr="00C0338D">
              <w:t>to saturated hydrocarbons</w:t>
            </w:r>
          </w:p>
        </w:tc>
      </w:tr>
      <w:tr w:rsidR="000F60E4" w:rsidTr="004F6786">
        <w:tc>
          <w:tcPr>
            <w:tcW w:w="2067" w:type="dxa"/>
          </w:tcPr>
          <w:p w:rsidR="000F60E4" w:rsidRPr="00C0338D" w:rsidRDefault="000F60E4" w:rsidP="004F6786">
            <w:r w:rsidRPr="00C0338D">
              <w:t xml:space="preserve">4. Conducting polymer </w:t>
            </w:r>
          </w:p>
        </w:tc>
        <w:tc>
          <w:tcPr>
            <w:tcW w:w="2977" w:type="dxa"/>
          </w:tcPr>
          <w:p w:rsidR="000F60E4" w:rsidRPr="00C0338D" w:rsidRDefault="000F60E4" w:rsidP="004F6786">
            <w:r w:rsidRPr="00C0338D">
              <w:t>Sensitive to various Volatile organic compounds; fast response time</w:t>
            </w:r>
          </w:p>
        </w:tc>
        <w:tc>
          <w:tcPr>
            <w:tcW w:w="3643" w:type="dxa"/>
          </w:tcPr>
          <w:p w:rsidR="000F60E4" w:rsidRPr="00C0338D" w:rsidRDefault="000F60E4" w:rsidP="004F6786">
            <w:r w:rsidRPr="00C0338D">
              <w:t>Sensitive to humidity and temperature, poor sensor life</w:t>
            </w:r>
          </w:p>
          <w:p w:rsidR="000F60E4" w:rsidRPr="00C0338D" w:rsidRDefault="000F60E4" w:rsidP="004F6786">
            <w:r w:rsidRPr="00C0338D">
              <w:t>Composite</w:t>
            </w:r>
          </w:p>
        </w:tc>
      </w:tr>
      <w:tr w:rsidR="000F60E4" w:rsidTr="004F6786">
        <w:tc>
          <w:tcPr>
            <w:tcW w:w="2067" w:type="dxa"/>
          </w:tcPr>
          <w:p w:rsidR="000F60E4" w:rsidRPr="00C0338D" w:rsidRDefault="000F60E4" w:rsidP="004F6786">
            <w:r w:rsidRPr="00C0338D">
              <w:t>5. Colorimetric sensor</w:t>
            </w:r>
          </w:p>
          <w:p w:rsidR="000F60E4" w:rsidRPr="00C0338D" w:rsidRDefault="000F60E4" w:rsidP="004F6786"/>
        </w:tc>
        <w:tc>
          <w:tcPr>
            <w:tcW w:w="2977" w:type="dxa"/>
          </w:tcPr>
          <w:p w:rsidR="000F60E4" w:rsidRPr="00C0338D" w:rsidRDefault="000F60E4" w:rsidP="004F6786">
            <w:r w:rsidRPr="00C0338D">
              <w:t>High sensitivity and selectivity high dimensionality; limited humidity effect</w:t>
            </w:r>
          </w:p>
        </w:tc>
        <w:tc>
          <w:tcPr>
            <w:tcW w:w="3643" w:type="dxa"/>
          </w:tcPr>
          <w:p w:rsidR="000F60E4" w:rsidRPr="00C0338D" w:rsidRDefault="000F60E4" w:rsidP="004F6786">
            <w:r w:rsidRPr="00C0338D">
              <w:t>Sensor is non-reversible (disposable); for</w:t>
            </w:r>
          </w:p>
          <w:p w:rsidR="000F60E4" w:rsidRPr="00C0338D" w:rsidRDefault="000F60E4" w:rsidP="004F6786">
            <w:r w:rsidRPr="00C0338D">
              <w:t>array hydrocarbons, pre-oxidation is required for high</w:t>
            </w:r>
          </w:p>
          <w:p w:rsidR="000F60E4" w:rsidRPr="00C0338D" w:rsidRDefault="000F60E4" w:rsidP="004F6786">
            <w:r w:rsidRPr="00C0338D">
              <w:t>sensitivity</w:t>
            </w:r>
          </w:p>
        </w:tc>
      </w:tr>
    </w:tbl>
    <w:p w:rsidR="00C8681F" w:rsidRPr="000F60E4" w:rsidRDefault="00C57F90" w:rsidP="000F60E4">
      <w:bookmarkStart w:id="3" w:name="_GoBack"/>
      <w:bookmarkEnd w:id="3"/>
    </w:p>
    <w:sectPr w:rsidR="00C8681F" w:rsidRPr="000F60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479"/>
    <w:rsid w:val="00054479"/>
    <w:rsid w:val="000F60E4"/>
    <w:rsid w:val="005606C8"/>
    <w:rsid w:val="007B6053"/>
    <w:rsid w:val="00C57F90"/>
    <w:rsid w:val="00F1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B5EEDF-D5FB-4E76-8C3C-FE61A70F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4479"/>
    <w:pPr>
      <w:spacing w:after="0"/>
    </w:pPr>
    <w:rPr>
      <w:rFonts w:ascii="Times New Roman" w:hAnsi="Times New Roman" w:cs="Times New Roman"/>
      <w:sz w:val="24"/>
      <w:lang w:val="en-US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054479"/>
    <w:pPr>
      <w:spacing w:before="120" w:after="120" w:line="264" w:lineRule="auto"/>
    </w:pPr>
    <w:rPr>
      <w:rFonts w:ascii="Calibri" w:eastAsia="Calibri" w:hAnsi="Calibri" w:cs="Times New Roman"/>
      <w:color w:val="000000"/>
      <w:sz w:val="24"/>
      <w:lang w:val="en-AU" w:eastAsia="en-AU"/>
    </w:rPr>
  </w:style>
  <w:style w:type="character" w:customStyle="1" w:styleId="BodyTextChar">
    <w:name w:val="Body Text Char"/>
    <w:basedOn w:val="DefaultParagraphFont"/>
    <w:link w:val="BodyText"/>
    <w:rsid w:val="00054479"/>
    <w:rPr>
      <w:rFonts w:ascii="Calibri" w:eastAsia="Calibri" w:hAnsi="Calibri" w:cs="Times New Roman"/>
      <w:color w:val="000000"/>
      <w:sz w:val="24"/>
      <w:lang w:val="en-AU" w:eastAsia="en-AU"/>
    </w:rPr>
  </w:style>
  <w:style w:type="paragraph" w:styleId="Caption">
    <w:name w:val="caption"/>
    <w:basedOn w:val="BodyText"/>
    <w:next w:val="BodyText"/>
    <w:uiPriority w:val="4"/>
    <w:qFormat/>
    <w:rsid w:val="00054479"/>
    <w:pPr>
      <w:keepNext/>
      <w:spacing w:before="240" w:line="240" w:lineRule="auto"/>
    </w:pPr>
    <w:rPr>
      <w:rFonts w:ascii="Times New Roman" w:eastAsia="Times New Roman" w:hAnsi="Times New Roman"/>
      <w:b/>
      <w:bCs/>
      <w:color w:val="auto"/>
      <w:szCs w:val="24"/>
      <w:lang w:eastAsia="ja-JP"/>
    </w:rPr>
  </w:style>
  <w:style w:type="table" w:styleId="GridTable1Light">
    <w:name w:val="Grid Table 1 Light"/>
    <w:basedOn w:val="TableNormal"/>
    <w:uiPriority w:val="46"/>
    <w:rsid w:val="00054479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nantavisai</dc:creator>
  <cp:keywords/>
  <dc:description/>
  <cp:lastModifiedBy>Tsu Ias</cp:lastModifiedBy>
  <cp:revision>2</cp:revision>
  <dcterms:created xsi:type="dcterms:W3CDTF">2023-10-23T09:56:00Z</dcterms:created>
  <dcterms:modified xsi:type="dcterms:W3CDTF">2023-10-23T09:56:00Z</dcterms:modified>
</cp:coreProperties>
</file>